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2DB" w:rsidRDefault="0021140E" w:rsidP="0034318F">
      <w:bookmarkStart w:id="0" w:name="_GoBack"/>
      <w:bookmarkEnd w:id="0"/>
      <w:r>
        <w:t>Student’s Name</w:t>
      </w:r>
    </w:p>
    <w:p w:rsidR="0021140E" w:rsidRDefault="0021140E" w:rsidP="0021140E">
      <w:pPr>
        <w:spacing w:after="0" w:line="480" w:lineRule="auto"/>
        <w:rPr>
          <w:rFonts w:ascii="Times New Roman" w:hAnsi="Times New Roman" w:cs="Times New Roman"/>
          <w:sz w:val="24"/>
          <w:szCs w:val="24"/>
        </w:rPr>
      </w:pPr>
      <w:r>
        <w:rPr>
          <w:rFonts w:ascii="Times New Roman" w:hAnsi="Times New Roman" w:cs="Times New Roman"/>
          <w:sz w:val="24"/>
          <w:szCs w:val="24"/>
        </w:rPr>
        <w:t>Course Number</w:t>
      </w:r>
    </w:p>
    <w:p w:rsidR="0021140E" w:rsidRDefault="0021140E" w:rsidP="0021140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21140E" w:rsidRDefault="0021140E" w:rsidP="002114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Document Analysis: The Declaratory Act 1766</w:t>
      </w:r>
    </w:p>
    <w:p w:rsidR="00723757" w:rsidRPr="00723757" w:rsidRDefault="00723757" w:rsidP="00723757">
      <w:pPr>
        <w:spacing w:after="0" w:line="480" w:lineRule="auto"/>
        <w:ind w:firstLine="720"/>
        <w:rPr>
          <w:rFonts w:ascii="Times New Roman" w:hAnsi="Times New Roman" w:cs="Times New Roman"/>
          <w:sz w:val="24"/>
          <w:szCs w:val="24"/>
        </w:rPr>
      </w:pPr>
      <w:r w:rsidRPr="00723757">
        <w:rPr>
          <w:rFonts w:ascii="Times New Roman" w:hAnsi="Times New Roman" w:cs="Times New Roman"/>
          <w:sz w:val="24"/>
          <w:szCs w:val="24"/>
        </w:rPr>
        <w:t xml:space="preserve">Following the protests and demonstrations staged by the American colonies about the Stamp Act, the Britain parliament acted through the repeal of the Stamp Act. The declaratory act document is a primary source written in 1766 by the </w:t>
      </w:r>
      <w:r w:rsidR="00073C2F">
        <w:rPr>
          <w:rFonts w:ascii="Times New Roman" w:hAnsi="Times New Roman" w:cs="Times New Roman"/>
          <w:sz w:val="24"/>
          <w:szCs w:val="24"/>
        </w:rPr>
        <w:t xml:space="preserve">Great </w:t>
      </w:r>
      <w:r w:rsidRPr="00723757">
        <w:rPr>
          <w:rFonts w:ascii="Times New Roman" w:hAnsi="Times New Roman" w:cs="Times New Roman"/>
          <w:sz w:val="24"/>
          <w:szCs w:val="24"/>
        </w:rPr>
        <w:t>Britain Parliament to the American colonies. The Declaration Act enactment glimpsed to give the British Parliament the absolute power and authority over the American colonies to enact laws.</w:t>
      </w:r>
      <w:r w:rsidR="00684272">
        <w:rPr>
          <w:rStyle w:val="FootnoteReference"/>
          <w:rFonts w:ascii="Times New Roman" w:hAnsi="Times New Roman" w:cs="Times New Roman"/>
          <w:sz w:val="24"/>
          <w:szCs w:val="24"/>
        </w:rPr>
        <w:footnoteReference w:id="1"/>
      </w:r>
      <w:r w:rsidRPr="00723757">
        <w:rPr>
          <w:rFonts w:ascii="Times New Roman" w:hAnsi="Times New Roman" w:cs="Times New Roman"/>
          <w:sz w:val="24"/>
          <w:szCs w:val="24"/>
        </w:rPr>
        <w:t xml:space="preserve"> This paper analyses the Declaratory Acts document of 1766. The paper will discuss three important issues the document entails like the power and authority of parliament to make laws, the binding of the colonies and the people of America and the abuse of power.</w:t>
      </w:r>
    </w:p>
    <w:p w:rsidR="00723757" w:rsidRPr="00723757" w:rsidRDefault="00723757" w:rsidP="00723757">
      <w:pPr>
        <w:spacing w:after="0" w:line="480" w:lineRule="auto"/>
        <w:ind w:firstLine="720"/>
        <w:rPr>
          <w:rFonts w:ascii="Times New Roman" w:hAnsi="Times New Roman" w:cs="Times New Roman"/>
          <w:sz w:val="24"/>
          <w:szCs w:val="24"/>
        </w:rPr>
      </w:pPr>
      <w:r w:rsidRPr="00723757">
        <w:rPr>
          <w:rFonts w:ascii="Times New Roman" w:hAnsi="Times New Roman" w:cs="Times New Roman"/>
          <w:sz w:val="24"/>
          <w:szCs w:val="24"/>
        </w:rPr>
        <w:t>The Declaratory Act promoted and maximized the power and the authority of the Britain Parliament to make laws.</w:t>
      </w:r>
      <w:r w:rsidR="00684272">
        <w:rPr>
          <w:rStyle w:val="FootnoteReference"/>
          <w:rFonts w:ascii="Times New Roman" w:hAnsi="Times New Roman" w:cs="Times New Roman"/>
          <w:sz w:val="24"/>
          <w:szCs w:val="24"/>
        </w:rPr>
        <w:footnoteReference w:id="2"/>
      </w:r>
      <w:r w:rsidRPr="00723757">
        <w:rPr>
          <w:rFonts w:ascii="Times New Roman" w:hAnsi="Times New Roman" w:cs="Times New Roman"/>
          <w:sz w:val="24"/>
          <w:szCs w:val="24"/>
        </w:rPr>
        <w:t xml:space="preserve"> The people of America and the colony had the freedom to resist the rules and laws of the state due to lack of proper and strong political power. The Stamp Act provided that the American colonies in the plantation contribute for the government through paying of taxes.</w:t>
      </w:r>
      <w:r w:rsidR="00684272">
        <w:rPr>
          <w:rStyle w:val="FootnoteReference"/>
          <w:rFonts w:ascii="Times New Roman" w:hAnsi="Times New Roman" w:cs="Times New Roman"/>
          <w:sz w:val="24"/>
          <w:szCs w:val="24"/>
        </w:rPr>
        <w:footnoteReference w:id="3"/>
      </w:r>
      <w:r w:rsidRPr="00723757">
        <w:rPr>
          <w:rFonts w:ascii="Times New Roman" w:hAnsi="Times New Roman" w:cs="Times New Roman"/>
          <w:sz w:val="24"/>
          <w:szCs w:val="24"/>
        </w:rPr>
        <w:t xml:space="preserve"> However, the colonies followed with the protest against the law and duty of taxation. As a result, the crown claimed the power that would have the authority of making the laws that govern and rule the crown’s subjects. Without the power, it was clear that the colonies had the freedom to provoke and reject some of the rules and wants of Great Britain. Thus, giving back the power and authority to the crown and the country was to have an authoritative and powerful parliament ready to execute the laws of the state.</w:t>
      </w:r>
    </w:p>
    <w:p w:rsidR="00723757" w:rsidRPr="00723757" w:rsidRDefault="00723757" w:rsidP="00723757">
      <w:pPr>
        <w:spacing w:after="0" w:line="480" w:lineRule="auto"/>
        <w:ind w:firstLine="720"/>
        <w:rPr>
          <w:rFonts w:ascii="Times New Roman" w:hAnsi="Times New Roman" w:cs="Times New Roman"/>
          <w:sz w:val="24"/>
          <w:szCs w:val="24"/>
        </w:rPr>
      </w:pPr>
      <w:r w:rsidRPr="00723757">
        <w:rPr>
          <w:rFonts w:ascii="Times New Roman" w:hAnsi="Times New Roman" w:cs="Times New Roman"/>
          <w:sz w:val="24"/>
          <w:szCs w:val="24"/>
        </w:rPr>
        <w:lastRenderedPageBreak/>
        <w:t>The document demonstrated to bind the colonies and the people of America.</w:t>
      </w:r>
      <w:r w:rsidR="00684272">
        <w:rPr>
          <w:rStyle w:val="FootnoteReference"/>
          <w:rFonts w:ascii="Times New Roman" w:hAnsi="Times New Roman" w:cs="Times New Roman"/>
          <w:sz w:val="24"/>
          <w:szCs w:val="24"/>
        </w:rPr>
        <w:footnoteReference w:id="4"/>
      </w:r>
      <w:r w:rsidRPr="00723757">
        <w:rPr>
          <w:rFonts w:ascii="Times New Roman" w:hAnsi="Times New Roman" w:cs="Times New Roman"/>
          <w:sz w:val="24"/>
          <w:szCs w:val="24"/>
        </w:rPr>
        <w:t xml:space="preserve"> The American colonies seemed to be above the laws made by Great Britain. Without any question the crown needed its subjects to be under its control. As such, the Declaratory Act aimed to create a situation where all the people were to be under the control and service of the power of the crown. This was not different to the American colonies. Working in the plantation for the Americans meant that they would follow the rules like the others in the country. With the parliament having the authority then the laws made would work for everyone because they are subjects to the Majesty. Unlike what was seen in during the Stamp Act that glimpsed the legislative protest causing businesses in Britain, the Declaratory aimed to lock away problems. </w:t>
      </w:r>
    </w:p>
    <w:p w:rsidR="00723757" w:rsidRPr="00723757" w:rsidRDefault="00723757" w:rsidP="00723757">
      <w:pPr>
        <w:spacing w:after="0" w:line="480" w:lineRule="auto"/>
        <w:ind w:firstLine="720"/>
        <w:rPr>
          <w:rFonts w:ascii="Times New Roman" w:hAnsi="Times New Roman" w:cs="Times New Roman"/>
          <w:sz w:val="24"/>
          <w:szCs w:val="24"/>
        </w:rPr>
      </w:pPr>
      <w:r w:rsidRPr="00723757">
        <w:rPr>
          <w:rFonts w:ascii="Times New Roman" w:hAnsi="Times New Roman" w:cs="Times New Roman"/>
          <w:sz w:val="24"/>
          <w:szCs w:val="24"/>
        </w:rPr>
        <w:t>The document established the abuse of power by the legislation.</w:t>
      </w:r>
      <w:r w:rsidR="00684272">
        <w:rPr>
          <w:rStyle w:val="FootnoteReference"/>
          <w:rFonts w:ascii="Times New Roman" w:hAnsi="Times New Roman" w:cs="Times New Roman"/>
          <w:sz w:val="24"/>
          <w:szCs w:val="24"/>
        </w:rPr>
        <w:footnoteReference w:id="5"/>
      </w:r>
      <w:r w:rsidRPr="00723757">
        <w:rPr>
          <w:rFonts w:ascii="Times New Roman" w:hAnsi="Times New Roman" w:cs="Times New Roman"/>
          <w:sz w:val="24"/>
          <w:szCs w:val="24"/>
        </w:rPr>
        <w:t xml:space="preserve"> Despite the parliament having the knowledge that it is not supposed to control the fate and desires of its subjects, it decides to take the control over the people. The document acknowledges that it’s truly against the law for the parliament to claim such a power.</w:t>
      </w:r>
      <w:r w:rsidR="00282721">
        <w:rPr>
          <w:rStyle w:val="FootnoteReference"/>
          <w:rFonts w:ascii="Times New Roman" w:hAnsi="Times New Roman" w:cs="Times New Roman"/>
          <w:sz w:val="24"/>
          <w:szCs w:val="24"/>
        </w:rPr>
        <w:footnoteReference w:id="6"/>
      </w:r>
      <w:r w:rsidRPr="00723757">
        <w:rPr>
          <w:rFonts w:ascii="Times New Roman" w:hAnsi="Times New Roman" w:cs="Times New Roman"/>
          <w:sz w:val="24"/>
          <w:szCs w:val="24"/>
        </w:rPr>
        <w:t xml:space="preserve"> However, something has to be done to control the future problems that may arise like one witnessed during the Stamp Act. The crown had the power but having no limits of rules affected the crown. As such, conducting and forming of an agency whereby its power can be exercised was a priority. The legislative protest and boycotts of America showed a state without the strong policies and government on the part of the crown. The Declaratory Act reaffirmed the position and the step that Great Britain would go to ensure its power, particularly over the American colonies.  </w:t>
      </w:r>
    </w:p>
    <w:p w:rsidR="005242DB" w:rsidRDefault="00723757" w:rsidP="005242DB">
      <w:pPr>
        <w:spacing w:after="0" w:line="480" w:lineRule="auto"/>
        <w:ind w:firstLine="720"/>
        <w:rPr>
          <w:rFonts w:ascii="Times New Roman" w:hAnsi="Times New Roman" w:cs="Times New Roman"/>
          <w:sz w:val="24"/>
          <w:szCs w:val="24"/>
        </w:rPr>
      </w:pPr>
      <w:r w:rsidRPr="00723757">
        <w:rPr>
          <w:rFonts w:ascii="Times New Roman" w:hAnsi="Times New Roman" w:cs="Times New Roman"/>
          <w:sz w:val="24"/>
          <w:szCs w:val="24"/>
        </w:rPr>
        <w:t xml:space="preserve"> In conclusion, this paper has analyzed the three main points; parliament power to make laws, the binding of the colonies and the people of America and abuse of power. The Declaratory Act was written to affirm the power of Great Britain’s parliament. It states “That the said </w:t>
      </w:r>
      <w:r w:rsidRPr="00723757">
        <w:rPr>
          <w:rFonts w:ascii="Times New Roman" w:hAnsi="Times New Roman" w:cs="Times New Roman"/>
          <w:sz w:val="24"/>
          <w:szCs w:val="24"/>
        </w:rPr>
        <w:lastRenderedPageBreak/>
        <w:t>colonies and plantations in America have been, are, and of right ought to be, subordinate unto, and dependent upon the imperial crown and parliament of Great Britain”.</w:t>
      </w:r>
      <w:r w:rsidR="00282721">
        <w:rPr>
          <w:rStyle w:val="FootnoteReference"/>
          <w:rFonts w:ascii="Times New Roman" w:hAnsi="Times New Roman" w:cs="Times New Roman"/>
          <w:sz w:val="24"/>
          <w:szCs w:val="24"/>
        </w:rPr>
        <w:footnoteReference w:id="7"/>
      </w:r>
      <w:r w:rsidRPr="00723757">
        <w:rPr>
          <w:rFonts w:ascii="Times New Roman" w:hAnsi="Times New Roman" w:cs="Times New Roman"/>
          <w:sz w:val="24"/>
          <w:szCs w:val="24"/>
        </w:rPr>
        <w:t xml:space="preserve"> It is evident that during the writing of the document the life in the United States was controlled by Great Britain. It is also open that the life in the United States was hard since it did not have the power to control its population. </w:t>
      </w:r>
      <w:r w:rsidR="001868B7">
        <w:rPr>
          <w:rFonts w:ascii="Times New Roman" w:hAnsi="Times New Roman" w:cs="Times New Roman"/>
          <w:sz w:val="24"/>
          <w:szCs w:val="24"/>
        </w:rPr>
        <w:t xml:space="preserve"> </w:t>
      </w:r>
    </w:p>
    <w:p w:rsidR="005242DB" w:rsidRDefault="005242DB" w:rsidP="005242DB">
      <w:pPr>
        <w:spacing w:after="0" w:line="480" w:lineRule="auto"/>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5242DB">
      <w:pPr>
        <w:spacing w:after="0" w:line="480" w:lineRule="auto"/>
        <w:jc w:val="center"/>
        <w:rPr>
          <w:rFonts w:ascii="Times New Roman" w:hAnsi="Times New Roman" w:cs="Times New Roman"/>
          <w:sz w:val="24"/>
          <w:szCs w:val="24"/>
        </w:rPr>
      </w:pPr>
    </w:p>
    <w:p w:rsidR="00684272" w:rsidRDefault="00684272" w:rsidP="00282721">
      <w:pPr>
        <w:spacing w:after="0" w:line="480" w:lineRule="auto"/>
        <w:rPr>
          <w:rFonts w:ascii="Times New Roman" w:hAnsi="Times New Roman" w:cs="Times New Roman"/>
          <w:sz w:val="24"/>
          <w:szCs w:val="24"/>
        </w:rPr>
      </w:pPr>
    </w:p>
    <w:p w:rsidR="00723757" w:rsidRDefault="003807DA" w:rsidP="005242D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684272" w:rsidRPr="00684272" w:rsidRDefault="00684272" w:rsidP="00282721">
      <w:pPr>
        <w:spacing w:after="0" w:line="480" w:lineRule="auto"/>
        <w:ind w:left="720" w:hanging="720"/>
        <w:rPr>
          <w:rFonts w:ascii="Times New Roman" w:hAnsi="Times New Roman" w:cs="Times New Roman"/>
          <w:sz w:val="24"/>
          <w:szCs w:val="24"/>
        </w:rPr>
      </w:pPr>
      <w:r w:rsidRPr="00684272">
        <w:rPr>
          <w:rFonts w:ascii="Times New Roman" w:hAnsi="Times New Roman" w:cs="Times New Roman"/>
          <w:color w:val="222222"/>
          <w:sz w:val="24"/>
          <w:szCs w:val="24"/>
          <w:shd w:val="clear" w:color="auto" w:fill="FFFFFF"/>
        </w:rPr>
        <w:lastRenderedPageBreak/>
        <w:t>Chaffin, Robert J. "The Declaratory Act of 1766: A Reappraisal." </w:t>
      </w:r>
      <w:r w:rsidRPr="00684272">
        <w:rPr>
          <w:rFonts w:ascii="Times New Roman" w:hAnsi="Times New Roman" w:cs="Times New Roman"/>
          <w:i/>
          <w:iCs/>
          <w:color w:val="222222"/>
          <w:sz w:val="24"/>
          <w:szCs w:val="24"/>
          <w:shd w:val="clear" w:color="auto" w:fill="FFFFFF"/>
        </w:rPr>
        <w:t>Historian</w:t>
      </w:r>
      <w:r w:rsidRPr="00684272">
        <w:rPr>
          <w:rFonts w:ascii="Times New Roman" w:hAnsi="Times New Roman" w:cs="Times New Roman"/>
          <w:color w:val="222222"/>
          <w:sz w:val="24"/>
          <w:szCs w:val="24"/>
          <w:shd w:val="clear" w:color="auto" w:fill="FFFFFF"/>
        </w:rPr>
        <w:t> 37, no. 1 (1974): 5-25. Accessed from https://www.jstor.org/stable/24443962?seq=1#metadata_info_tab_contents</w:t>
      </w:r>
    </w:p>
    <w:p w:rsidR="00723757" w:rsidRDefault="00723757" w:rsidP="00282721">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Digital History.</w:t>
      </w:r>
      <w:proofErr w:type="gramEnd"/>
      <w:r>
        <w:rPr>
          <w:rFonts w:ascii="Times New Roman" w:hAnsi="Times New Roman" w:cs="Times New Roman"/>
          <w:sz w:val="24"/>
          <w:szCs w:val="24"/>
        </w:rPr>
        <w:t xml:space="preserve"> “The Declaratory Act 1766.” https:www.</w:t>
      </w:r>
      <w:r w:rsidR="00073C2F">
        <w:rPr>
          <w:rFonts w:ascii="Times New Roman" w:hAnsi="Times New Roman" w:cs="Times New Roman"/>
          <w:sz w:val="24"/>
          <w:szCs w:val="24"/>
        </w:rPr>
        <w:t>digitalhistory,uh.edu (Accessed September 26, 2018)</w:t>
      </w:r>
    </w:p>
    <w:p w:rsidR="00684272" w:rsidRPr="00A20BB1" w:rsidRDefault="00684272" w:rsidP="00723757">
      <w:pPr>
        <w:spacing w:after="0" w:line="480" w:lineRule="auto"/>
        <w:rPr>
          <w:rFonts w:ascii="Times New Roman" w:hAnsi="Times New Roman" w:cs="Times New Roman"/>
          <w:sz w:val="24"/>
          <w:szCs w:val="24"/>
        </w:rPr>
      </w:pPr>
    </w:p>
    <w:sectPr w:rsidR="00684272" w:rsidRPr="00A20BB1" w:rsidSect="005242D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D93" w:rsidRDefault="00573D93" w:rsidP="00073C2F">
      <w:pPr>
        <w:spacing w:after="0" w:line="240" w:lineRule="auto"/>
      </w:pPr>
      <w:r>
        <w:separator/>
      </w:r>
    </w:p>
  </w:endnote>
  <w:endnote w:type="continuationSeparator" w:id="0">
    <w:p w:rsidR="00573D93" w:rsidRDefault="00573D93" w:rsidP="00073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D93" w:rsidRDefault="00573D93" w:rsidP="00073C2F">
      <w:pPr>
        <w:spacing w:after="0" w:line="240" w:lineRule="auto"/>
      </w:pPr>
      <w:r>
        <w:separator/>
      </w:r>
    </w:p>
  </w:footnote>
  <w:footnote w:type="continuationSeparator" w:id="0">
    <w:p w:rsidR="00573D93" w:rsidRDefault="00573D93" w:rsidP="00073C2F">
      <w:pPr>
        <w:spacing w:after="0" w:line="240" w:lineRule="auto"/>
      </w:pPr>
      <w:r>
        <w:continuationSeparator/>
      </w:r>
    </w:p>
  </w:footnote>
  <w:footnote w:id="1">
    <w:p w:rsidR="00684272" w:rsidRPr="00684272" w:rsidRDefault="00684272">
      <w:pPr>
        <w:pStyle w:val="FootnoteText"/>
      </w:pPr>
      <w:r>
        <w:rPr>
          <w:rStyle w:val="FootnoteReference"/>
        </w:rPr>
        <w:footnoteRef/>
      </w:r>
      <w:r>
        <w:t xml:space="preserve"> </w:t>
      </w:r>
      <w:proofErr w:type="gramStart"/>
      <w:r w:rsidRPr="00684272">
        <w:rPr>
          <w:rFonts w:ascii="Times New Roman" w:hAnsi="Times New Roman" w:cs="Times New Roman"/>
        </w:rPr>
        <w:t>“The Declaratory Act 1766.”</w:t>
      </w:r>
      <w:proofErr w:type="gramEnd"/>
      <w:r w:rsidRPr="00684272">
        <w:rPr>
          <w:rFonts w:ascii="Times New Roman" w:hAnsi="Times New Roman" w:cs="Times New Roman"/>
        </w:rPr>
        <w:t xml:space="preserve"> </w:t>
      </w:r>
    </w:p>
  </w:footnote>
  <w:footnote w:id="2">
    <w:p w:rsidR="00684272" w:rsidRDefault="00684272">
      <w:pPr>
        <w:pStyle w:val="FootnoteText"/>
      </w:pPr>
      <w:r>
        <w:rPr>
          <w:rStyle w:val="FootnoteReference"/>
        </w:rPr>
        <w:footnoteRef/>
      </w:r>
      <w:r>
        <w:t xml:space="preserve"> Ibid</w:t>
      </w:r>
    </w:p>
  </w:footnote>
  <w:footnote w:id="3">
    <w:p w:rsidR="00684272" w:rsidRPr="00684272" w:rsidRDefault="00684272">
      <w:pPr>
        <w:pStyle w:val="FootnoteText"/>
      </w:pPr>
      <w:r>
        <w:rPr>
          <w:rStyle w:val="FootnoteReference"/>
        </w:rPr>
        <w:footnoteRef/>
      </w:r>
      <w:r>
        <w:t xml:space="preserve"> </w:t>
      </w:r>
      <w:r w:rsidRPr="00684272">
        <w:rPr>
          <w:rFonts w:ascii="Times New Roman" w:hAnsi="Times New Roman" w:cs="Times New Roman"/>
          <w:color w:val="222222"/>
          <w:shd w:val="clear" w:color="auto" w:fill="FFFFFF"/>
        </w:rPr>
        <w:t>Chaffin, Robert J. "The Declaratory Act of 1766: A Reappraisal." </w:t>
      </w:r>
      <w:r w:rsidRPr="00684272">
        <w:rPr>
          <w:rFonts w:ascii="Times New Roman" w:hAnsi="Times New Roman" w:cs="Times New Roman"/>
          <w:i/>
          <w:iCs/>
          <w:color w:val="222222"/>
          <w:shd w:val="clear" w:color="auto" w:fill="FFFFFF"/>
        </w:rPr>
        <w:t>Historian</w:t>
      </w:r>
      <w:r w:rsidRPr="00684272">
        <w:rPr>
          <w:rFonts w:ascii="Times New Roman" w:hAnsi="Times New Roman" w:cs="Times New Roman"/>
          <w:color w:val="222222"/>
          <w:shd w:val="clear" w:color="auto" w:fill="FFFFFF"/>
        </w:rPr>
        <w:t> 37, no. 1 (1974): 5-25.</w:t>
      </w:r>
    </w:p>
  </w:footnote>
  <w:footnote w:id="4">
    <w:p w:rsidR="00684272" w:rsidRDefault="00684272">
      <w:pPr>
        <w:pStyle w:val="FootnoteText"/>
      </w:pPr>
      <w:r>
        <w:rPr>
          <w:rStyle w:val="FootnoteReference"/>
        </w:rPr>
        <w:footnoteRef/>
      </w:r>
      <w:r>
        <w:t xml:space="preserve"> </w:t>
      </w:r>
      <w:r w:rsidRPr="00684272">
        <w:rPr>
          <w:rFonts w:ascii="Times New Roman" w:hAnsi="Times New Roman" w:cs="Times New Roman"/>
        </w:rPr>
        <w:t xml:space="preserve"> </w:t>
      </w:r>
      <w:proofErr w:type="gramStart"/>
      <w:r w:rsidRPr="00684272">
        <w:rPr>
          <w:rFonts w:ascii="Times New Roman" w:hAnsi="Times New Roman" w:cs="Times New Roman"/>
        </w:rPr>
        <w:t>“The Declaratory Act 1766.”</w:t>
      </w:r>
      <w:proofErr w:type="gramEnd"/>
      <w:r w:rsidRPr="00684272">
        <w:rPr>
          <w:rFonts w:ascii="Times New Roman" w:hAnsi="Times New Roman" w:cs="Times New Roman"/>
        </w:rPr>
        <w:t xml:space="preserve"> </w:t>
      </w:r>
    </w:p>
  </w:footnote>
  <w:footnote w:id="5">
    <w:p w:rsidR="00684272" w:rsidRDefault="00684272" w:rsidP="00791EB2">
      <w:pPr>
        <w:pStyle w:val="FootnoteText"/>
      </w:pPr>
      <w:r>
        <w:rPr>
          <w:rStyle w:val="FootnoteReference"/>
        </w:rPr>
        <w:footnoteRef/>
      </w:r>
      <w:r>
        <w:t xml:space="preserve"> </w:t>
      </w:r>
      <w:r w:rsidR="003807DA">
        <w:rPr>
          <w:rFonts w:ascii="Times New Roman" w:hAnsi="Times New Roman" w:cs="Times New Roman"/>
        </w:rPr>
        <w:t>Ibid, 1</w:t>
      </w:r>
      <w:r w:rsidR="0021140E">
        <w:tab/>
      </w:r>
    </w:p>
  </w:footnote>
  <w:footnote w:id="6">
    <w:p w:rsidR="00282721" w:rsidRDefault="00282721">
      <w:pPr>
        <w:pStyle w:val="FootnoteText"/>
      </w:pPr>
      <w:r>
        <w:rPr>
          <w:rStyle w:val="FootnoteReference"/>
        </w:rPr>
        <w:footnoteRef/>
      </w:r>
      <w:r>
        <w:t xml:space="preserve"> ibid</w:t>
      </w:r>
    </w:p>
  </w:footnote>
  <w:footnote w:id="7">
    <w:p w:rsidR="00282721" w:rsidRDefault="00282721">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C2F" w:rsidRPr="005242DB" w:rsidRDefault="00073C2F" w:rsidP="00073C2F">
    <w:pPr>
      <w:pStyle w:val="Header"/>
      <w:rPr>
        <w:rFonts w:ascii="Times New Roman" w:hAnsi="Times New Roman" w:cs="Times New Roman"/>
      </w:rPr>
    </w:pPr>
    <w:r w:rsidRPr="00073C2F">
      <w:rPr>
        <w:rFonts w:ascii="Times New Roman" w:hAnsi="Times New Roman" w:cs="Times New Roman"/>
        <w:sz w:val="24"/>
        <w:szCs w:val="24"/>
      </w:rPr>
      <w:tab/>
    </w:r>
    <w:r w:rsidRPr="00073C2F">
      <w:rPr>
        <w:rFonts w:ascii="Times New Roman" w:hAnsi="Times New Roman" w:cs="Times New Roman"/>
        <w:sz w:val="24"/>
        <w:szCs w:val="24"/>
      </w:rPr>
      <w:tab/>
    </w:r>
    <w:r w:rsidR="005242DB" w:rsidRPr="005242DB">
      <w:rPr>
        <w:rFonts w:ascii="Times New Roman" w:hAnsi="Times New Roman" w:cs="Times New Roman"/>
      </w:rPr>
      <w:t>LastName</w:t>
    </w:r>
    <w:r w:rsidR="005242DB" w:rsidRPr="005242DB">
      <w:rPr>
        <w:rFonts w:ascii="Times New Roman" w:hAnsi="Times New Roman" w:cs="Times New Roman"/>
      </w:rPr>
      <w:fldChar w:fldCharType="begin"/>
    </w:r>
    <w:r w:rsidR="005242DB" w:rsidRPr="005242DB">
      <w:rPr>
        <w:rFonts w:ascii="Times New Roman" w:hAnsi="Times New Roman" w:cs="Times New Roman"/>
      </w:rPr>
      <w:instrText xml:space="preserve"> PAGE   \* MERGEFORMAT </w:instrText>
    </w:r>
    <w:r w:rsidR="005242DB" w:rsidRPr="005242DB">
      <w:rPr>
        <w:rFonts w:ascii="Times New Roman" w:hAnsi="Times New Roman" w:cs="Times New Roman"/>
      </w:rPr>
      <w:fldChar w:fldCharType="separate"/>
    </w:r>
    <w:r w:rsidR="0034318F">
      <w:rPr>
        <w:rFonts w:ascii="Times New Roman" w:hAnsi="Times New Roman" w:cs="Times New Roman"/>
        <w:noProof/>
      </w:rPr>
      <w:t>2</w:t>
    </w:r>
    <w:r w:rsidR="005242DB" w:rsidRPr="005242DB">
      <w:rPr>
        <w:rFonts w:ascii="Times New Roman" w:hAnsi="Times New Roman" w:cs="Times New Roman"/>
        <w:noProof/>
      </w:rPr>
      <w:fldChar w:fldCharType="end"/>
    </w:r>
  </w:p>
  <w:p w:rsidR="00073C2F" w:rsidRPr="005242DB" w:rsidRDefault="005242DB">
    <w:pPr>
      <w:pStyle w:val="Header"/>
      <w:rPr>
        <w:rFonts w:ascii="Times New Roman" w:hAnsi="Times New Roman" w:cs="Times New Roman"/>
      </w:rP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C2F" w:rsidRPr="005242DB" w:rsidRDefault="005242DB">
    <w:pPr>
      <w:pStyle w:val="Header"/>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sz w:val="24"/>
        <w:szCs w:val="24"/>
      </w:rPr>
      <w:tab/>
    </w:r>
    <w:r w:rsidRPr="005242DB">
      <w:rPr>
        <w:rFonts w:ascii="Times New Roman" w:hAnsi="Times New Roman" w:cs="Times New Roman"/>
      </w:rPr>
      <w:fldChar w:fldCharType="begin"/>
    </w:r>
    <w:r w:rsidRPr="005242DB">
      <w:rPr>
        <w:rFonts w:ascii="Times New Roman" w:hAnsi="Times New Roman" w:cs="Times New Roman"/>
      </w:rPr>
      <w:instrText xml:space="preserve"> PAGE   \* MERGEFORMAT </w:instrText>
    </w:r>
    <w:r w:rsidRPr="005242DB">
      <w:rPr>
        <w:rFonts w:ascii="Times New Roman" w:hAnsi="Times New Roman" w:cs="Times New Roman"/>
      </w:rPr>
      <w:fldChar w:fldCharType="separate"/>
    </w:r>
    <w:r w:rsidR="0034318F">
      <w:rPr>
        <w:rFonts w:ascii="Times New Roman" w:hAnsi="Times New Roman" w:cs="Times New Roman"/>
        <w:noProof/>
      </w:rPr>
      <w:t>1</w:t>
    </w:r>
    <w:r w:rsidRPr="005242DB">
      <w:rPr>
        <w:rFonts w:ascii="Times New Roman" w:hAnsi="Times New Roman" w:cs="Times New Roman"/>
        <w:noProof/>
      </w:rPr>
      <w:fldChar w:fldCharType="end"/>
    </w:r>
    <w:r w:rsidR="00073C2F" w:rsidRPr="005242DB">
      <w:rPr>
        <w:rFonts w:ascii="Times New Roman" w:hAnsi="Times New Roman" w:cs="Times New Roman"/>
      </w:rPr>
      <w:tab/>
    </w:r>
    <w:r w:rsidR="00073C2F" w:rsidRPr="005242DB">
      <w:rPr>
        <w:rFonts w:ascii="Times New Roman" w:hAnsi="Times New Roman" w:cs="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289"/>
    <w:rsid w:val="00073C2F"/>
    <w:rsid w:val="001868B7"/>
    <w:rsid w:val="0021140E"/>
    <w:rsid w:val="00225C24"/>
    <w:rsid w:val="00230C5D"/>
    <w:rsid w:val="00282721"/>
    <w:rsid w:val="003046DD"/>
    <w:rsid w:val="0034318F"/>
    <w:rsid w:val="003807DA"/>
    <w:rsid w:val="003969C0"/>
    <w:rsid w:val="004A313A"/>
    <w:rsid w:val="004B4F51"/>
    <w:rsid w:val="004C079C"/>
    <w:rsid w:val="005242DB"/>
    <w:rsid w:val="00573D93"/>
    <w:rsid w:val="005D3719"/>
    <w:rsid w:val="00610DA1"/>
    <w:rsid w:val="00684272"/>
    <w:rsid w:val="00723757"/>
    <w:rsid w:val="00791EB2"/>
    <w:rsid w:val="00967593"/>
    <w:rsid w:val="009813C9"/>
    <w:rsid w:val="00A20BB1"/>
    <w:rsid w:val="00AB0A2E"/>
    <w:rsid w:val="00B2380F"/>
    <w:rsid w:val="00CA7B69"/>
    <w:rsid w:val="00D93289"/>
    <w:rsid w:val="00E70208"/>
    <w:rsid w:val="00EF3A7C"/>
    <w:rsid w:val="00F07B0E"/>
    <w:rsid w:val="00F312C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AB0A2E"/>
    <w:rPr>
      <w:color w:val="0000FF" w:themeColor="hyperlink"/>
      <w:u w:val="single"/>
    </w:rPr>
  </w:style>
  <w:style w:type="paragraph" w:styleId="FootnoteText">
    <w:name w:val="footnote text"/>
    <w:basedOn w:val="Normal"/>
    <w:link w:val="FootnoteTextChar"/>
    <w:uiPriority w:val="99"/>
    <w:semiHidden/>
    <w:unhideWhenUsed/>
    <w:rsid w:val="00073C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3C2F"/>
    <w:rPr>
      <w:sz w:val="20"/>
      <w:szCs w:val="20"/>
    </w:rPr>
  </w:style>
  <w:style w:type="character" w:styleId="FootnoteReference">
    <w:name w:val="footnote reference"/>
    <w:basedOn w:val="DefaultParagraphFont"/>
    <w:uiPriority w:val="99"/>
    <w:semiHidden/>
    <w:unhideWhenUsed/>
    <w:rsid w:val="00073C2F"/>
    <w:rPr>
      <w:vertAlign w:val="superscript"/>
    </w:rPr>
  </w:style>
  <w:style w:type="paragraph" w:styleId="Header">
    <w:name w:val="header"/>
    <w:basedOn w:val="Normal"/>
    <w:link w:val="HeaderChar"/>
    <w:uiPriority w:val="99"/>
    <w:unhideWhenUsed/>
    <w:rsid w:val="00073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C2F"/>
  </w:style>
  <w:style w:type="paragraph" w:styleId="Footer">
    <w:name w:val="footer"/>
    <w:basedOn w:val="Normal"/>
    <w:link w:val="FooterChar"/>
    <w:uiPriority w:val="99"/>
    <w:unhideWhenUsed/>
    <w:rsid w:val="00073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C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AB0A2E"/>
    <w:rPr>
      <w:color w:val="0000FF" w:themeColor="hyperlink"/>
      <w:u w:val="single"/>
    </w:rPr>
  </w:style>
  <w:style w:type="paragraph" w:styleId="FootnoteText">
    <w:name w:val="footnote text"/>
    <w:basedOn w:val="Normal"/>
    <w:link w:val="FootnoteTextChar"/>
    <w:uiPriority w:val="99"/>
    <w:semiHidden/>
    <w:unhideWhenUsed/>
    <w:rsid w:val="00073C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3C2F"/>
    <w:rPr>
      <w:sz w:val="20"/>
      <w:szCs w:val="20"/>
    </w:rPr>
  </w:style>
  <w:style w:type="character" w:styleId="FootnoteReference">
    <w:name w:val="footnote reference"/>
    <w:basedOn w:val="DefaultParagraphFont"/>
    <w:uiPriority w:val="99"/>
    <w:semiHidden/>
    <w:unhideWhenUsed/>
    <w:rsid w:val="00073C2F"/>
    <w:rPr>
      <w:vertAlign w:val="superscript"/>
    </w:rPr>
  </w:style>
  <w:style w:type="paragraph" w:styleId="Header">
    <w:name w:val="header"/>
    <w:basedOn w:val="Normal"/>
    <w:link w:val="HeaderChar"/>
    <w:uiPriority w:val="99"/>
    <w:unhideWhenUsed/>
    <w:rsid w:val="00073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C2F"/>
  </w:style>
  <w:style w:type="paragraph" w:styleId="Footer">
    <w:name w:val="footer"/>
    <w:basedOn w:val="Normal"/>
    <w:link w:val="FooterChar"/>
    <w:uiPriority w:val="99"/>
    <w:unhideWhenUsed/>
    <w:rsid w:val="00073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7AE38-DF2C-4EE3-9E8B-AE4959A99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2018-09-26T19:04:00Z</dcterms:created>
  <dcterms:modified xsi:type="dcterms:W3CDTF">2018-09-26T19:04:00Z</dcterms:modified>
</cp:coreProperties>
</file>